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91" w:type="dxa"/>
        <w:tblInd w:w="93" w:type="dxa"/>
        <w:tblLayout w:type="fixed"/>
        <w:tblCellMar>
          <w:top w:w="0" w:type="dxa"/>
          <w:left w:w="108" w:type="dxa"/>
          <w:bottom w:w="0" w:type="dxa"/>
          <w:right w:w="108" w:type="dxa"/>
        </w:tblCellMar>
      </w:tblPr>
      <w:tblGrid>
        <w:gridCol w:w="681"/>
        <w:gridCol w:w="784"/>
        <w:gridCol w:w="1713"/>
        <w:gridCol w:w="2012"/>
        <w:gridCol w:w="1013"/>
        <w:gridCol w:w="3588"/>
      </w:tblGrid>
      <w:tr>
        <w:tblPrEx>
          <w:tblCellMar>
            <w:top w:w="0" w:type="dxa"/>
            <w:left w:w="108" w:type="dxa"/>
            <w:bottom w:w="0" w:type="dxa"/>
            <w:right w:w="108" w:type="dxa"/>
          </w:tblCellMar>
        </w:tblPrEx>
        <w:trPr>
          <w:trHeight w:val="270" w:hRule="atLeast"/>
        </w:trPr>
        <w:tc>
          <w:tcPr>
            <w:tcW w:w="9791" w:type="dxa"/>
            <w:gridSpan w:val="6"/>
            <w:tcBorders>
              <w:top w:val="nil"/>
              <w:left w:val="nil"/>
              <w:bottom w:val="nil"/>
              <w:right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44"/>
                <w:szCs w:val="44"/>
              </w:rPr>
              <w:t>广东省广宁县人民法院</w:t>
            </w:r>
          </w:p>
        </w:tc>
      </w:tr>
      <w:tr>
        <w:tblPrEx>
          <w:tblCellMar>
            <w:top w:w="0" w:type="dxa"/>
            <w:left w:w="108" w:type="dxa"/>
            <w:bottom w:w="0" w:type="dxa"/>
            <w:right w:w="108" w:type="dxa"/>
          </w:tblCellMar>
        </w:tblPrEx>
        <w:trPr>
          <w:trHeight w:val="270" w:hRule="atLeast"/>
        </w:trPr>
        <w:tc>
          <w:tcPr>
            <w:tcW w:w="9791" w:type="dxa"/>
            <w:gridSpan w:val="6"/>
            <w:tcBorders>
              <w:top w:val="nil"/>
              <w:left w:val="nil"/>
              <w:bottom w:val="nil"/>
              <w:right w:val="nil"/>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44"/>
                <w:szCs w:val="44"/>
              </w:rPr>
              <w:t>诉讼（执行）文书送达地址确认书</w:t>
            </w:r>
          </w:p>
        </w:tc>
      </w:tr>
      <w:tr>
        <w:tblPrEx>
          <w:tblCellMar>
            <w:top w:w="0" w:type="dxa"/>
            <w:left w:w="108" w:type="dxa"/>
            <w:bottom w:w="0" w:type="dxa"/>
            <w:right w:w="108" w:type="dxa"/>
          </w:tblCellMar>
        </w:tblPrEx>
        <w:trPr>
          <w:trHeight w:val="60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案号</w:t>
            </w:r>
          </w:p>
        </w:tc>
        <w:tc>
          <w:tcPr>
            <w:tcW w:w="45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10" w:firstLineChars="5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（20   ）粤1223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 xml:space="preserve">  号</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案由</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xml:space="preserve">                       </w:t>
            </w:r>
          </w:p>
        </w:tc>
      </w:tr>
      <w:tr>
        <w:tblPrEx>
          <w:tblCellMar>
            <w:top w:w="0" w:type="dxa"/>
            <w:left w:w="108" w:type="dxa"/>
            <w:bottom w:w="0" w:type="dxa"/>
            <w:right w:w="108" w:type="dxa"/>
          </w:tblCellMar>
        </w:tblPrEx>
        <w:trPr>
          <w:trHeight w:val="472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人民法院对当事人填写送达地址确认书的告知事项</w:t>
            </w:r>
          </w:p>
        </w:tc>
        <w:tc>
          <w:tcPr>
            <w:tcW w:w="9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1.为方便当事人或其诉讼（执行）代理人及时接收法院诉讼（执行）文书，保障诉讼（执行）程序顺利进行，当事人或其诉讼（执行）代理人应当如实填写《送达地址确认书》；</w:t>
            </w:r>
            <w:r>
              <w:rPr>
                <w:rFonts w:hint="eastAsia" w:ascii="宋体" w:hAnsi="宋体" w:eastAsia="宋体" w:cs="宋体"/>
                <w:b/>
                <w:bCs/>
                <w:color w:val="000000" w:themeColor="text1"/>
                <w:kern w:val="0"/>
                <w:szCs w:val="21"/>
                <w:shd w:val="clear" w:color="FFFFFF" w:fill="D9D9D9"/>
                <w14:textFill>
                  <w14:solidFill>
                    <w14:schemeClr w14:val="tx1"/>
                  </w14:solidFill>
                </w14:textFill>
              </w:rPr>
              <w:t>填写事项如有变更，应当及时以书面形式告知法院；填写内容不准确、拒不提供地址、地址变更未书面告知法院，导致诉讼（执</w:t>
            </w:r>
            <w:r>
              <w:rPr>
                <w:rFonts w:hint="eastAsia" w:ascii="宋体" w:hAnsi="宋体" w:eastAsia="宋体" w:cs="宋体"/>
                <w:b/>
                <w:bCs/>
                <w:color w:val="000000" w:themeColor="text1"/>
                <w:kern w:val="0"/>
                <w:szCs w:val="21"/>
                <w:shd w:val="clear" w:color="FFFFFF" w:fill="D9D9D9"/>
                <w14:textFill>
                  <w14:solidFill>
                    <w14:schemeClr w14:val="tx1"/>
                  </w14:solidFill>
                </w14:textFill>
              </w:rPr>
              <w:t>行）文</w:t>
            </w:r>
            <w:r>
              <w:rPr>
                <w:rFonts w:hint="eastAsia" w:ascii="宋体" w:hAnsi="宋体" w:eastAsia="宋体" w:cs="宋体"/>
                <w:b/>
                <w:bCs/>
                <w:color w:val="000000" w:themeColor="text1"/>
                <w:kern w:val="0"/>
                <w:szCs w:val="21"/>
                <w:shd w:val="clear" w:color="FFFFFF" w:fill="D9D9D9"/>
                <w14:textFill>
                  <w14:solidFill>
                    <w14:schemeClr w14:val="tx1"/>
                  </w14:solidFill>
                </w14:textFill>
              </w:rPr>
              <w:t>书无法送达或者未能及时送达的，当事人自行承担由此可能产生的法律后果</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2.当事人或其诉讼（执行）代理人在《送达地址确认书》中确认的送达地址、送达方式适用于该案</w:t>
            </w:r>
            <w:r>
              <w:rPr>
                <w:rFonts w:hint="eastAsia" w:ascii="宋体" w:hAnsi="宋体" w:eastAsia="宋体" w:cs="宋体"/>
                <w:b/>
                <w:bCs/>
                <w:color w:val="000000" w:themeColor="text1"/>
                <w:kern w:val="0"/>
                <w:szCs w:val="21"/>
                <w:shd w:val="clear" w:color="FFFFFF" w:fill="D9D9D9"/>
                <w14:textFill>
                  <w14:solidFill>
                    <w14:schemeClr w14:val="tx1"/>
                  </w14:solidFill>
                </w14:textFill>
              </w:rPr>
              <w:t>一审、二审、再审以及执行程序</w:t>
            </w:r>
            <w:r>
              <w:rPr>
                <w:rFonts w:hint="eastAsia" w:ascii="宋体" w:hAnsi="宋体" w:eastAsia="宋体" w:cs="宋体"/>
                <w:color w:val="000000" w:themeColor="text1"/>
                <w:kern w:val="0"/>
                <w:szCs w:val="21"/>
                <w14:textFill>
                  <w14:solidFill>
                    <w14:schemeClr w14:val="tx1"/>
                  </w14:solidFill>
                </w14:textFill>
              </w:rPr>
              <w:t>，无须重复确认。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3.网上立案的，原则上釆取电子送达。当事人或其诉讼（执行）代理人同意釆用电子送达的，应当提供并确认接收诉讼（执行）文书或诉讼（执行）活动信息的手机号码、微信号。</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4.电子送达与法院其他方式送达具有同等法律效力。</w:t>
            </w:r>
            <w:r>
              <w:rPr>
                <w:rFonts w:hint="eastAsia" w:ascii="宋体" w:hAnsi="宋体" w:eastAsia="宋体" w:cs="宋体"/>
                <w:b/>
                <w:bCs/>
                <w:color w:val="000000" w:themeColor="text1"/>
                <w:kern w:val="0"/>
                <w:szCs w:val="21"/>
                <w:shd w:val="clear" w:color="FFFFFF" w:fill="D9D9D9"/>
                <w14:textFill>
                  <w14:solidFill>
                    <w14:schemeClr w14:val="tx1"/>
                  </w14:solidFill>
                </w14:textFill>
              </w:rPr>
              <w:t>电子送达一经发送成功，诉讼（执行）文书或诉讼（执行）活动信息即视为送达，电子邮件、短信或微信到达受送达人特定系统的日期为送达日期，电子送达地址变更申请前本院已送达成功的，仍为有效送达。“开庭传票”经电子送达成功后，无正当理由不按通知时间和地点到庭的，本院将按照相关法律规定，对原告或提出独立请求的第三人，按撤诉处理。对被告或未提出独立请求的第三人，将缺席审理。</w:t>
            </w:r>
            <w:r>
              <w:rPr>
                <w:rFonts w:hint="eastAsia" w:ascii="宋体" w:hAnsi="宋体" w:eastAsia="宋体" w:cs="宋体"/>
                <w:color w:val="000000" w:themeColor="text1"/>
                <w:kern w:val="0"/>
                <w:szCs w:val="21"/>
                <w14:textFill>
                  <w14:solidFill>
                    <w14:schemeClr w14:val="tx1"/>
                  </w14:solidFill>
                </w14:textFill>
              </w:rPr>
              <w:t>为保障您的诉讼（执行）权益，请及时查收并阅读诉讼（执行）文书或诉讼（执行）活动信息。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 xml:space="preserve">    5.有关送达的法律规定，见本确认书后页。</w:t>
            </w:r>
          </w:p>
        </w:tc>
      </w:tr>
      <w:tr>
        <w:tblPrEx>
          <w:tblCellMar>
            <w:top w:w="0" w:type="dxa"/>
            <w:left w:w="108" w:type="dxa"/>
            <w:bottom w:w="0" w:type="dxa"/>
            <w:right w:w="108" w:type="dxa"/>
          </w:tblCellMar>
        </w:tblPrEx>
        <w:trPr>
          <w:trHeight w:val="468"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当事人</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姓名（名称）</w:t>
            </w:r>
          </w:p>
        </w:tc>
        <w:tc>
          <w:tcPr>
            <w:tcW w:w="6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邮寄送达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地址</w:t>
            </w:r>
          </w:p>
        </w:tc>
        <w:tc>
          <w:tcPr>
            <w:tcW w:w="6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联系电话</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szCs w:val="22"/>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邮编</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电子送达</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同意手机短信送达</w:t>
            </w:r>
          </w:p>
        </w:tc>
        <w:tc>
          <w:tcPr>
            <w:tcW w:w="4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公民身份号码：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手机号码：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微信号码：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同意广东法院诉讼服务网或其他电子送达系统送达</w:t>
            </w:r>
          </w:p>
        </w:tc>
        <w:tc>
          <w:tcPr>
            <w:tcW w:w="4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同意微信送达</w:t>
            </w:r>
          </w:p>
        </w:tc>
        <w:tc>
          <w:tcPr>
            <w:tcW w:w="4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诉讼（执行）代理人</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姓名（名称）</w:t>
            </w:r>
          </w:p>
        </w:tc>
        <w:tc>
          <w:tcPr>
            <w:tcW w:w="6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bookmarkStart w:id="0" w:name="_GoBack"/>
            <w:bookmarkEnd w:id="0"/>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邮寄送达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地址</w:t>
            </w:r>
          </w:p>
        </w:tc>
        <w:tc>
          <w:tcPr>
            <w:tcW w:w="6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联系电话</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szCs w:val="22"/>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邮编</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电子送达</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同意手机短信送达</w:t>
            </w:r>
          </w:p>
        </w:tc>
        <w:tc>
          <w:tcPr>
            <w:tcW w:w="4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公民身份号码：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手机号码：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微信号码：</w:t>
            </w:r>
            <w:r>
              <w:rPr>
                <w:rFonts w:hint="eastAsia" w:ascii="宋体" w:hAnsi="宋体" w:eastAsia="宋体" w:cs="宋体"/>
                <w:color w:val="000000" w:themeColor="text1"/>
                <w:kern w:val="0"/>
                <w:sz w:val="22"/>
                <w:szCs w:val="22"/>
                <w:u w:val="single"/>
                <w14:textFill>
                  <w14:solidFill>
                    <w14:schemeClr w14:val="tx1"/>
                  </w14:solidFill>
                </w14:textFill>
              </w:rPr>
              <w:t xml:space="preserve">                              </w:t>
            </w:r>
          </w:p>
        </w:tc>
      </w:tr>
      <w:tr>
        <w:tblPrEx>
          <w:tblCellMar>
            <w:top w:w="0" w:type="dxa"/>
            <w:left w:w="108" w:type="dxa"/>
            <w:bottom w:w="0" w:type="dxa"/>
            <w:right w:w="108" w:type="dxa"/>
          </w:tblCellMar>
        </w:tblPrEx>
        <w:trPr>
          <w:trHeight w:val="28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同意广东法院诉讼服务网或其他电子送达系统送达</w:t>
            </w:r>
          </w:p>
        </w:tc>
        <w:tc>
          <w:tcPr>
            <w:tcW w:w="4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2"/>
                <w:szCs w:val="22"/>
              </w:rPr>
            </w:pPr>
            <w:r>
              <w:rPr>
                <w:rFonts w:ascii="Wingdings" w:hAnsi="Wingdings" w:eastAsia="宋体" w:cs="Wingdings"/>
                <w:b/>
                <w:bCs/>
                <w:color w:val="000000" w:themeColor="text1"/>
                <w:kern w:val="0"/>
                <w:sz w:val="22"/>
                <w:szCs w:val="22"/>
              </w:rPr>
              <w:t></w:t>
            </w:r>
            <w:r>
              <w:rPr>
                <w:rFonts w:hint="default" w:ascii="宋体" w:hAnsi="宋体" w:eastAsia="宋体" w:cs="宋体"/>
                <w:color w:val="000000" w:themeColor="text1"/>
                <w:kern w:val="0"/>
                <w:sz w:val="22"/>
                <w:szCs w:val="22"/>
              </w:rPr>
              <w:t>同意微信送达</w:t>
            </w:r>
          </w:p>
        </w:tc>
        <w:tc>
          <w:tcPr>
            <w:tcW w:w="4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98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签名确认</w:t>
            </w:r>
          </w:p>
        </w:tc>
        <w:tc>
          <w:tcPr>
            <w:tcW w:w="9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0" w:firstLineChars="2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我已经阅读了本确认书的有关告知事项及相关法律规定，保证上述地址准确、有效，□同意以电子送达地址作为接收诉讼（执行）文书和诉讼（执行）活动信息的送达地址；□同意以邮寄送达地址作为接收诉讼（执行）文书和判决书/调解书/裁定书的送达地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签名或捺印：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年    月    日</w:t>
            </w:r>
          </w:p>
        </w:tc>
      </w:tr>
      <w:tr>
        <w:tblPrEx>
          <w:tblCellMar>
            <w:top w:w="0" w:type="dxa"/>
            <w:left w:w="108" w:type="dxa"/>
            <w:bottom w:w="0" w:type="dxa"/>
            <w:right w:w="108" w:type="dxa"/>
          </w:tblCellMar>
        </w:tblPrEx>
        <w:trPr>
          <w:trHeight w:val="7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w:t>
            </w:r>
          </w:p>
        </w:tc>
        <w:tc>
          <w:tcPr>
            <w:tcW w:w="9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spacing w:line="440" w:lineRule="exact"/>
        <w:jc w:val="center"/>
        <w:rPr>
          <w:b/>
          <w:bCs/>
        </w:rPr>
      </w:pPr>
      <w:r>
        <w:rPr>
          <w:rFonts w:hint="eastAsia"/>
          <w:b/>
          <w:bCs/>
        </w:rPr>
        <w:t>相关法律规定</w:t>
      </w:r>
    </w:p>
    <w:p>
      <w:pPr>
        <w:spacing w:line="440" w:lineRule="exact"/>
        <w:ind w:firstLine="420" w:firstLineChars="200"/>
      </w:pPr>
      <w:r>
        <w:rPr>
          <w:rFonts w:hint="eastAsia"/>
        </w:rPr>
        <w:t>一、《中华人民共和国民事诉讼法》</w:t>
      </w:r>
    </w:p>
    <w:p>
      <w:pPr>
        <w:spacing w:line="440" w:lineRule="exact"/>
        <w:ind w:firstLine="420" w:firstLineChars="200"/>
      </w:pPr>
      <w:r>
        <w:rPr>
          <w:rFonts w:hint="eastAsia"/>
        </w:rPr>
        <w:t>第九十条  经受送达人同意，人民法院可以采用能够确认其收悉的电子方式送达诉讼文书。通过电子方式送达的判决书、裁定书、调解书，受送达人提出需要纸质文书的，人民法院应当提供。</w:t>
      </w:r>
    </w:p>
    <w:p>
      <w:pPr>
        <w:spacing w:line="440" w:lineRule="exact"/>
        <w:ind w:firstLine="420" w:firstLineChars="200"/>
      </w:pPr>
      <w:r>
        <w:rPr>
          <w:rFonts w:hint="eastAsia"/>
        </w:rPr>
        <w:t>采用前款方式送达的，以送达信息到达受送达人特定系统的日期为送达日期。</w:t>
      </w:r>
    </w:p>
    <w:p>
      <w:pPr>
        <w:spacing w:line="440" w:lineRule="exact"/>
        <w:ind w:firstLine="420" w:firstLineChars="200"/>
      </w:pPr>
    </w:p>
    <w:p>
      <w:pPr>
        <w:numPr>
          <w:ilvl w:val="0"/>
          <w:numId w:val="1"/>
        </w:numPr>
        <w:spacing w:line="440" w:lineRule="exact"/>
        <w:ind w:firstLine="420" w:firstLineChars="200"/>
      </w:pPr>
      <w:r>
        <w:rPr>
          <w:rFonts w:hint="eastAsia"/>
        </w:rPr>
        <w:t>最高人民法院《关于使用&lt;中华人民共和国民事诉讼法&gt;的解释》</w:t>
      </w:r>
    </w:p>
    <w:p>
      <w:pPr>
        <w:spacing w:line="440" w:lineRule="exact"/>
        <w:ind w:firstLine="420"/>
      </w:pPr>
      <w:r>
        <w:rPr>
          <w:rFonts w:hint="eastAsia"/>
        </w:rPr>
        <w:t>第一百三十五条  电子送达可以采用传真、电子邮件、移动通信等即时收悉的特定系统作为送达媒介。</w:t>
      </w:r>
      <w:r>
        <w:rPr>
          <w:rFonts w:hint="eastAsia"/>
        </w:rPr>
        <w:br w:type="textWrapping"/>
      </w:r>
      <w:r>
        <w:fldChar w:fldCharType="begin"/>
      </w:r>
      <w:r>
        <w:instrText xml:space="preserve"> HYPERLINK "javascript:void(0);" </w:instrText>
      </w:r>
      <w:r>
        <w:fldChar w:fldCharType="separate"/>
      </w:r>
      <w:r>
        <w:rPr>
          <w:rFonts w:hint="eastAsia"/>
        </w:rPr>
        <w:t>民事诉讼法</w:t>
      </w:r>
      <w:r>
        <w:rPr>
          <w:rFonts w:hint="eastAsia"/>
        </w:rPr>
        <w:fldChar w:fldCharType="end"/>
      </w:r>
      <w:r>
        <w:rPr>
          <w:rFonts w:hint="eastAsia"/>
        </w:rPr>
        <w:t>第</w:t>
      </w:r>
      <w:r>
        <w:fldChar w:fldCharType="begin"/>
      </w:r>
      <w:r>
        <w:instrText xml:space="preserve"> HYPERLINK "javascript:void(0);" </w:instrText>
      </w:r>
      <w:r>
        <w:fldChar w:fldCharType="separate"/>
      </w:r>
      <w:r>
        <w:rPr>
          <w:rFonts w:hint="eastAsia"/>
        </w:rPr>
        <w:t>九十条</w:t>
      </w:r>
      <w:r>
        <w:rPr>
          <w:rFonts w:hint="eastAsia"/>
        </w:rPr>
        <w:fldChar w:fldCharType="end"/>
      </w:r>
      <w:r>
        <w:rPr>
          <w:rFonts w:hint="eastAsia"/>
        </w:rPr>
        <w:t>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pPr>
        <w:spacing w:line="440" w:lineRule="exact"/>
        <w:ind w:firstLine="420"/>
      </w:pPr>
      <w:r>
        <w:rPr>
          <w:rFonts w:hint="eastAsia"/>
        </w:rPr>
        <w:t>第一百三十六条  受送达人同意采用电子方式送达的，应当在送达地址确认书中予以确认。</w:t>
      </w:r>
    </w:p>
    <w:p>
      <w:pPr>
        <w:spacing w:line="440" w:lineRule="exact"/>
        <w:ind w:firstLine="420"/>
      </w:pPr>
    </w:p>
    <w:p>
      <w:pPr>
        <w:numPr>
          <w:ilvl w:val="0"/>
          <w:numId w:val="1"/>
        </w:numPr>
        <w:spacing w:line="440" w:lineRule="exact"/>
        <w:ind w:firstLine="420" w:firstLineChars="200"/>
      </w:pPr>
      <w:r>
        <w:rPr>
          <w:rFonts w:hint="eastAsia"/>
        </w:rPr>
        <w:t>最高人民法院《关于以法院专递方式邮寄送达民事诉讼文书的若干规定》</w:t>
      </w:r>
    </w:p>
    <w:p>
      <w:pPr>
        <w:numPr>
          <w:ilvl w:val="0"/>
          <w:numId w:val="2"/>
        </w:numPr>
        <w:spacing w:line="440" w:lineRule="exact"/>
        <w:ind w:firstLine="420"/>
      </w:pPr>
      <w:r>
        <w:rPr>
          <w:rFonts w:hint="eastAsia"/>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r>
        <w:rPr>
          <w:rFonts w:hint="eastAsia"/>
        </w:rPr>
        <w:br w:type="textWrapping"/>
      </w:r>
      <w:r>
        <w:rPr>
          <w:rFonts w:hint="eastAsia"/>
        </w:rPr>
        <w:t>　　受送达人能够证明自己在诉讼文书送达的过程中没有过错的，不适用前款规定。</w:t>
      </w:r>
    </w:p>
    <w:p>
      <w:pPr>
        <w:spacing w:line="440" w:lineRule="exact"/>
      </w:pPr>
    </w:p>
    <w:p>
      <w:pPr>
        <w:numPr>
          <w:ilvl w:val="0"/>
          <w:numId w:val="1"/>
        </w:numPr>
        <w:spacing w:line="440" w:lineRule="exact"/>
        <w:ind w:firstLine="420" w:firstLineChars="200"/>
      </w:pPr>
      <w:r>
        <w:rPr>
          <w:rFonts w:hint="eastAsia"/>
        </w:rPr>
        <w:t>最高人民法院《关于进一步加强民事送达工作的若干意见》</w:t>
      </w:r>
    </w:p>
    <w:p>
      <w:pPr>
        <w:spacing w:line="440" w:lineRule="exact"/>
        <w:ind w:firstLine="420" w:firstLineChars="200"/>
      </w:pPr>
      <w:r>
        <w:rPr>
          <w:rFonts w:hint="eastAsia"/>
        </w:rPr>
        <w:t>第二条  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pPr>
        <w:spacing w:line="440" w:lineRule="exact"/>
        <w:ind w:firstLine="420" w:firstLineChars="200"/>
      </w:pPr>
      <w:r>
        <w:rPr>
          <w:rFonts w:hint="eastAsia"/>
        </w:rPr>
        <w:t>第六条  当事人在送达地址确认书中确认的送达地址，适用于第一审程序、第二审程序和执行程序。当事人变更送达地址，应当以书面方式告知人民法院。当事人未书面变更的，以其确认的地址为送达地址。</w:t>
      </w:r>
      <w:r>
        <w:rPr>
          <w:rFonts w:hint="eastAsia"/>
        </w:rPr>
        <w:br w:type="textWrapping"/>
      </w:r>
      <w:r>
        <w:rPr>
          <w:rFonts w:hint="eastAsia"/>
        </w:rPr>
        <w:t xml:space="preserve">    第七条  因当事人提供的送达地址不准确、拒不提供送达地址、送达地址变更未书面告知人民法院，导致民事诉讼文书未能被受送达人实际接收的，直接送达的，民事诉讼文书留在该地址之日为送达之日；邮寄送达的，文书被退回之日为送达之日。</w:t>
      </w:r>
    </w:p>
    <w:p>
      <w:pPr>
        <w:spacing w:line="440" w:lineRule="exact"/>
        <w:ind w:firstLine="420" w:firstLineChars="200"/>
      </w:pPr>
    </w:p>
    <w:p>
      <w:pPr>
        <w:numPr>
          <w:ilvl w:val="0"/>
          <w:numId w:val="1"/>
        </w:numPr>
        <w:spacing w:line="440" w:lineRule="exact"/>
        <w:ind w:firstLine="420" w:firstLineChars="200"/>
      </w:pPr>
      <w:r>
        <w:rPr>
          <w:rFonts w:hint="eastAsia"/>
        </w:rPr>
        <w:t>广东省高级人民法院《关于推行司法文书电子送达的规定（试行）》</w:t>
      </w:r>
    </w:p>
    <w:p>
      <w:pPr>
        <w:spacing w:line="440" w:lineRule="exact"/>
        <w:ind w:firstLine="420" w:firstLineChars="200"/>
      </w:pPr>
      <w:r>
        <w:rPr>
          <w:rFonts w:hint="eastAsia"/>
        </w:rPr>
        <w:t>第六条  当事人为非自然人或者当事人委托律师代理诉讼的，应当选择电子送达方式接收法院送达的诉讼文书。</w:t>
      </w:r>
    </w:p>
    <w:p>
      <w:pPr>
        <w:spacing w:line="440" w:lineRule="exact"/>
        <w:ind w:firstLine="420" w:firstLineChars="200"/>
      </w:pPr>
      <w:r>
        <w:rPr>
          <w:rFonts w:hint="eastAsia"/>
        </w:rPr>
        <w:t>不同意选择电子送达方式的，限于当事人为自然人并且有充分正当理由。</w:t>
      </w:r>
    </w:p>
    <w:p>
      <w:pPr>
        <w:spacing w:line="440" w:lineRule="exact"/>
        <w:ind w:firstLine="420" w:firstLineChars="200"/>
      </w:pPr>
      <w:r>
        <w:rPr>
          <w:rFonts w:hint="eastAsia"/>
        </w:rPr>
        <w:t>第七条  以当事人本人的电子邮箱作为优先收件地址的，以代理人的电子邮箱作为备选地址；以代理人的电子邮箱作为优先收件地址的，以本人的电子地址作为备选地址。</w:t>
      </w:r>
    </w:p>
    <w:sectPr>
      <w:pgSz w:w="11906" w:h="16838"/>
      <w:pgMar w:top="646" w:right="1080" w:bottom="64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8376F"/>
    <w:multiLevelType w:val="singleLevel"/>
    <w:tmpl w:val="A3A8376F"/>
    <w:lvl w:ilvl="0" w:tentative="0">
      <w:start w:val="11"/>
      <w:numFmt w:val="chineseCounting"/>
      <w:suff w:val="nothing"/>
      <w:lvlText w:val="第%1条　"/>
      <w:lvlJc w:val="left"/>
      <w:rPr>
        <w:rFonts w:hint="eastAsia"/>
      </w:rPr>
    </w:lvl>
  </w:abstractNum>
  <w:abstractNum w:abstractNumId="1">
    <w:nsid w:val="7C1B471B"/>
    <w:multiLevelType w:val="singleLevel"/>
    <w:tmpl w:val="7C1B471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F4E8A"/>
    <w:rsid w:val="000C3A0A"/>
    <w:rsid w:val="00130CB1"/>
    <w:rsid w:val="00316A93"/>
    <w:rsid w:val="00363446"/>
    <w:rsid w:val="00456AEC"/>
    <w:rsid w:val="004F4722"/>
    <w:rsid w:val="007C1558"/>
    <w:rsid w:val="008963BA"/>
    <w:rsid w:val="00A6413C"/>
    <w:rsid w:val="00B66016"/>
    <w:rsid w:val="00D11D80"/>
    <w:rsid w:val="00D246FD"/>
    <w:rsid w:val="47D36773"/>
    <w:rsid w:val="5CED2FF3"/>
    <w:rsid w:val="5DFA7591"/>
    <w:rsid w:val="61FA5EE6"/>
    <w:rsid w:val="695F6719"/>
    <w:rsid w:val="708F4E8A"/>
    <w:rsid w:val="74047545"/>
    <w:rsid w:val="7FFFB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01"/>
    <w:basedOn w:val="6"/>
    <w:qFormat/>
    <w:uiPriority w:val="0"/>
    <w:rPr>
      <w:rFonts w:hint="eastAsia" w:ascii="宋体" w:hAnsi="宋体" w:eastAsia="宋体" w:cs="宋体"/>
      <w:color w:val="000000"/>
      <w:sz w:val="22"/>
      <w:szCs w:val="22"/>
      <w:u w:val="none"/>
    </w:rPr>
  </w:style>
  <w:style w:type="paragraph" w:customStyle="1" w:styleId="9">
    <w:name w:val="Body text|1"/>
    <w:basedOn w:val="1"/>
    <w:qFormat/>
    <w:uiPriority w:val="0"/>
    <w:pPr>
      <w:spacing w:line="288" w:lineRule="auto"/>
      <w:ind w:firstLine="400"/>
    </w:pPr>
    <w:rPr>
      <w:rFonts w:ascii="宋体" w:hAnsi="宋体" w:eastAsia="宋体" w:cs="宋体"/>
      <w:sz w:val="22"/>
      <w:szCs w:val="22"/>
      <w:lang w:val="zh-TW" w:eastAsia="zh-TW" w:bidi="zh-TW"/>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6"/>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win10zhijia.net</Company>
  <Pages>2</Pages>
  <Words>381</Words>
  <Characters>2172</Characters>
  <Lines>18</Lines>
  <Paragraphs>5</Paragraphs>
  <TotalTime>0</TotalTime>
  <ScaleCrop>false</ScaleCrop>
  <LinksUpToDate>false</LinksUpToDate>
  <CharactersWithSpaces>2548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2021-12-28T06:44:00Z</dcterms:created>
  <dc:creator>子昊不是耗子_rat</dc:creator>
  <cp:lastModifiedBy>lenovo</cp:lastModifiedBy>
  <cp:lastPrinted>2022-10-10T15:29:00Z</cp:lastPrinted>
  <dcterms:modified xsi:type="dcterms:W3CDTF">2025-06-04T15:46:36Z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183FB6305DA9DEC9DCF93F68F6D060F2</vt:lpwstr>
  </property>
</Properties>
</file>